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F08" w:rsidRPr="00D603A9" w:rsidRDefault="00BC2F08" w:rsidP="00BC2F08">
      <w:pPr>
        <w:jc w:val="center"/>
        <w:rPr>
          <w:rFonts w:ascii="Arial" w:hAnsi="Arial" w:cs="Arial"/>
          <w:b/>
        </w:rPr>
      </w:pPr>
      <w:r w:rsidRPr="00D603A9">
        <w:rPr>
          <w:rFonts w:ascii="Arial" w:hAnsi="Arial" w:cs="Arial"/>
          <w:b/>
        </w:rPr>
        <w:t xml:space="preserve">Abschlussprüfung an </w:t>
      </w:r>
      <w:r w:rsidR="00180E63">
        <w:rPr>
          <w:rFonts w:ascii="Arial" w:hAnsi="Arial" w:cs="Arial"/>
          <w:b/>
        </w:rPr>
        <w:t>Werkreal</w:t>
      </w:r>
      <w:r w:rsidRPr="00D603A9">
        <w:rPr>
          <w:rFonts w:ascii="Arial" w:hAnsi="Arial" w:cs="Arial"/>
          <w:b/>
        </w:rPr>
        <w:t>schulen für Schulfremde</w:t>
      </w:r>
    </w:p>
    <w:p w:rsidR="00BC2F08" w:rsidRDefault="00BC2F08" w:rsidP="00BC2F08">
      <w:pPr>
        <w:rPr>
          <w:rFonts w:ascii="Arial" w:hAnsi="Arial" w:cs="Arial"/>
        </w:rPr>
      </w:pPr>
    </w:p>
    <w:p w:rsidR="00673FF3" w:rsidRPr="00EF04AA" w:rsidRDefault="00673FF3" w:rsidP="00673FF3">
      <w:pPr>
        <w:rPr>
          <w:sz w:val="22"/>
          <w:szCs w:val="22"/>
        </w:rPr>
      </w:pPr>
      <w:r w:rsidRPr="00EF04AA">
        <w:rPr>
          <w:sz w:val="22"/>
          <w:szCs w:val="22"/>
        </w:rPr>
        <w:t>aus: Verordnung des Kultusministeriums über die Neufassung der Prüfungsordnungen für die Sekundarstufe I sowie zur Änderung weiterer schulrechtlicher Vorschriften Vom 4. Juni 2019</w:t>
      </w:r>
      <w:r w:rsidRPr="00EF04AA">
        <w:rPr>
          <w:sz w:val="22"/>
          <w:szCs w:val="22"/>
        </w:rPr>
        <w:br/>
        <w:t>§ 6</w:t>
      </w:r>
      <w:r>
        <w:rPr>
          <w:sz w:val="22"/>
        </w:rPr>
        <w:br/>
      </w:r>
      <w:r w:rsidRPr="00EF04AA">
        <w:rPr>
          <w:sz w:val="22"/>
          <w:szCs w:val="22"/>
        </w:rPr>
        <w:t xml:space="preserve"> Nichtteilnahme, Rücktritt</w:t>
      </w:r>
      <w:r>
        <w:rPr>
          <w:sz w:val="22"/>
        </w:rPr>
        <w:br/>
      </w:r>
      <w:r w:rsidRPr="00EF04AA">
        <w:rPr>
          <w:sz w:val="22"/>
          <w:szCs w:val="22"/>
        </w:rPr>
        <w:t xml:space="preserve"> (1) Die Teile der Prüfung, an denen der Prüfling ohne wichtigen Grund nicht teilnimmt, werden jeweils mit »ungenügend« bewertet. Über das Vorliegen eines wichtigen Grundes entscheidet die oder der Vorsitzende des Prüfungsausschusses, bei der schriftlichen Prüfung die Leiterin oder der Leiter. Der wichtige Grund ist der Schule unverzüglich mitzuteilen.</w:t>
      </w:r>
      <w:r>
        <w:rPr>
          <w:sz w:val="22"/>
        </w:rPr>
        <w:br/>
      </w:r>
      <w:r w:rsidRPr="00EF04AA">
        <w:rPr>
          <w:sz w:val="22"/>
          <w:szCs w:val="22"/>
        </w:rPr>
        <w:t xml:space="preserve"> (2) Als wichtiger Grund gilt insbesondere eine krankheitsbedingte Prüfungsunfähigkeit. Ist eine prüfungsrelevante gesundheitliche Beeinträchtigung nicht offenkundig, kann die oder der Vorsitzende des Prüfungsausschusses die Vorlage eines ärztlichen Zeugnisses verlangen, das e</w:t>
      </w:r>
      <w:bookmarkStart w:id="0" w:name="_GoBack"/>
      <w:bookmarkEnd w:id="0"/>
      <w:r w:rsidRPr="00EF04AA">
        <w:rPr>
          <w:sz w:val="22"/>
          <w:szCs w:val="22"/>
        </w:rPr>
        <w:t>ine konkrete Beschreibung dieser Beeinträchtigung beinhaltet. Lassen sich Zweifel am Vorliegen einer prüfungsrelevanten gesundheitlichen Beeinträchtigung auf andere Weise nicht ausräumen, kann die oder der Vorsitzende des Prüfungsausschusses auch die Vorlage eines Satz 2 entsprechenden amtsärztlichen Zeugnisses verlangen. Wer sich in Kenntnis einer gesundheitlichen Beeinträchtigung oder eines anderen wichtigen Grundes der Prüfung unterzogen hat, kann diese Gründe nachträglich nicht mehr geltend machen. Der Kenntnis steht die fahrlässige Unkenntnis gleich; fahrlässige Unkenntnis liegt insbesondere dann vor, wenn bei Vorliegen einer gesundheitlichen Beeinträchtigung nicht unverzüglich eine Klärung herbeigeführt wurde.</w:t>
      </w:r>
      <w:r w:rsidRPr="00EF04AA">
        <w:rPr>
          <w:sz w:val="22"/>
          <w:szCs w:val="22"/>
        </w:rPr>
        <w:br/>
        <w:t xml:space="preserve">§ 8 </w:t>
      </w:r>
      <w:r>
        <w:rPr>
          <w:sz w:val="22"/>
        </w:rPr>
        <w:br/>
      </w:r>
      <w:r w:rsidRPr="00EF04AA">
        <w:rPr>
          <w:sz w:val="22"/>
          <w:szCs w:val="22"/>
        </w:rPr>
        <w:t>Täuschungshandlungen, Ordnungsverstöße</w:t>
      </w:r>
      <w:r>
        <w:rPr>
          <w:sz w:val="22"/>
        </w:rPr>
        <w:br/>
      </w:r>
      <w:r w:rsidRPr="00EF04AA">
        <w:rPr>
          <w:sz w:val="22"/>
          <w:szCs w:val="22"/>
        </w:rPr>
        <w:t xml:space="preserve"> (1) Wer es unternimmt, das Prüfungsergebnis durch Täuschung oder Benutzung nicht zugelassener Hilfsmittel zu beeinflussen, oder wer nicht zugelassene Hilfsmittel nach Bekanntgabe der Prüfungsaufgaben mit sich führt oder Beihilfe zu einer Täuschung oder eine Täuschungsversuch leistet, begeht eine Täuschungshandlung.</w:t>
      </w:r>
      <w:r>
        <w:rPr>
          <w:sz w:val="22"/>
        </w:rPr>
        <w:br/>
      </w:r>
      <w:r w:rsidRPr="00EF04AA">
        <w:rPr>
          <w:sz w:val="22"/>
          <w:szCs w:val="22"/>
        </w:rPr>
        <w:t xml:space="preserve"> (2) Wird während der Prüfung eine Täuschungshandlung oder ein entsprechender Verdacht festgestellt, ist der Sachverhalt von einer Aufsicht führenden Lehrkraft zu protokollieren. Der Prüfling setzt die Prüfung bis zur Entscheidung über die Täuschungshandlung vorläufig fort. (3) Stellt die oder der Vorsitzende des Prüfungsausschusses, bei der schriftlichen Prüfung die Leiterin oder der Leiter fest, dass eine Täuschungshandlung vorliegt, wird der Prüfling von der weiteren Teilnahme an der Prüfung ausgeschlossen; dies gilt als Nichtbestehen der Abschlussprüfung. In leichten Fällen kann stattdessen die Prüfungsleistung mit der Note »ungenügend« bewertet werden. </w:t>
      </w:r>
      <w:r>
        <w:rPr>
          <w:sz w:val="22"/>
        </w:rPr>
        <w:br/>
      </w:r>
      <w:r w:rsidRPr="00EF04AA">
        <w:rPr>
          <w:sz w:val="22"/>
          <w:szCs w:val="22"/>
        </w:rPr>
        <w:t>(4) Stellt sich eine Täuschungshandlung erst nach Aushändigung des Zeugnisses heraus, kann die untere Schulaufsichtsbehörde das Zeugnis einziehen und entweder ein anderes Zeugnis erteilen oder die Prüfung für nicht bestanden erklären, wenn seit der Ausstellung des Zeugnisses nicht mehr als zwei Jahre vergangen sind.</w:t>
      </w:r>
      <w:r>
        <w:rPr>
          <w:sz w:val="22"/>
        </w:rPr>
        <w:br/>
      </w:r>
      <w:r w:rsidRPr="00EF04AA">
        <w:rPr>
          <w:sz w:val="22"/>
          <w:szCs w:val="22"/>
        </w:rPr>
        <w:t>(5) Wer durch sein Verhalten die Prüfung so schwer stört, dass es nicht möglich ist, die Prüfung ordnungsgemäß durchzuführen, wird von der Prüfung ausgeschlossen; dies gilt als Nichtbestehen der Abschlussprüfung. Für die Zuständigkeit gilt Absatz 3 Satz 1, für die Entscheidung in leichten Fällen Absatz 3 Satz 2 entsprechend.</w:t>
      </w:r>
    </w:p>
    <w:p w:rsidR="00BC2F08" w:rsidRDefault="00BC2F08" w:rsidP="00BC2F08">
      <w:pPr>
        <w:rPr>
          <w:rFonts w:ascii="Arial" w:hAnsi="Arial" w:cs="Arial"/>
          <w:sz w:val="18"/>
          <w:szCs w:val="18"/>
        </w:rPr>
      </w:pPr>
    </w:p>
    <w:p w:rsidR="00BC2F08" w:rsidRDefault="00BC2F08" w:rsidP="00BC2F08">
      <w:pPr>
        <w:rPr>
          <w:rFonts w:ascii="Arial" w:hAnsi="Arial" w:cs="Arial"/>
          <w:sz w:val="18"/>
          <w:szCs w:val="18"/>
        </w:rPr>
      </w:pPr>
    </w:p>
    <w:p w:rsidR="00BC2F08" w:rsidRDefault="00BC2F08" w:rsidP="00BC2F08">
      <w:pPr>
        <w:rPr>
          <w:rFonts w:ascii="Arial" w:hAnsi="Arial" w:cs="Arial"/>
          <w:b/>
          <w:sz w:val="22"/>
          <w:szCs w:val="22"/>
        </w:rPr>
      </w:pPr>
      <w:r>
        <w:rPr>
          <w:rFonts w:ascii="Arial" w:hAnsi="Arial" w:cs="Arial"/>
          <w:b/>
          <w:sz w:val="22"/>
          <w:szCs w:val="22"/>
        </w:rPr>
        <w:t>Von den vorstehenden Bestimmungen habe ich Kenntnis genommen:</w:t>
      </w:r>
    </w:p>
    <w:p w:rsidR="00BC2F08" w:rsidRDefault="00BC2F08" w:rsidP="00BC2F08">
      <w:pPr>
        <w:rPr>
          <w:rFonts w:ascii="Arial" w:hAnsi="Arial" w:cs="Arial"/>
          <w:b/>
          <w:sz w:val="22"/>
          <w:szCs w:val="22"/>
        </w:rPr>
      </w:pPr>
    </w:p>
    <w:p w:rsidR="00BC2F08" w:rsidRDefault="00BC2F08" w:rsidP="00BC2F08">
      <w:pPr>
        <w:rPr>
          <w:rFonts w:ascii="Arial" w:hAnsi="Arial" w:cs="Arial"/>
          <w:b/>
          <w:sz w:val="22"/>
          <w:szCs w:val="22"/>
        </w:rPr>
      </w:pPr>
    </w:p>
    <w:p w:rsidR="00BC2F08" w:rsidRDefault="00BC2F08" w:rsidP="00BC2F08">
      <w:pPr>
        <w:rPr>
          <w:rFonts w:ascii="Arial" w:hAnsi="Arial" w:cs="Arial"/>
          <w:b/>
          <w:sz w:val="22"/>
          <w:szCs w:val="22"/>
        </w:rPr>
      </w:pPr>
    </w:p>
    <w:p w:rsidR="00CD6932" w:rsidRPr="0044650F" w:rsidRDefault="00BC2F08" w:rsidP="00BC2F08">
      <w:r>
        <w:rPr>
          <w:rFonts w:ascii="Arial" w:hAnsi="Arial" w:cs="Arial"/>
          <w:sz w:val="22"/>
          <w:szCs w:val="22"/>
        </w:rPr>
        <w:t>…………………………..                                                         …………………………………….     Datum</w:t>
      </w:r>
      <w:r>
        <w:rPr>
          <w:rFonts w:ascii="Arial" w:hAnsi="Arial" w:cs="Arial"/>
          <w:sz w:val="22"/>
          <w:szCs w:val="22"/>
        </w:rPr>
        <w:tab/>
        <w:t xml:space="preserve">                                                                                    Unterschrift      </w:t>
      </w:r>
    </w:p>
    <w:sectPr w:rsidR="00CD6932" w:rsidRPr="0044650F" w:rsidSect="001E03DE">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7A8" w:rsidRDefault="00BA17A8" w:rsidP="001E03DE">
      <w:r>
        <w:separator/>
      </w:r>
    </w:p>
  </w:endnote>
  <w:endnote w:type="continuationSeparator" w:id="0">
    <w:p w:rsidR="00BA17A8" w:rsidRDefault="00BA17A8"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E65" w:rsidRDefault="00061E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E65" w:rsidRDefault="00061E6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E65" w:rsidRDefault="00061E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7A8" w:rsidRDefault="00BA17A8" w:rsidP="001E03DE">
      <w:r>
        <w:separator/>
      </w:r>
    </w:p>
  </w:footnote>
  <w:footnote w:type="continuationSeparator" w:id="0">
    <w:p w:rsidR="00BA17A8" w:rsidRDefault="00BA17A8"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E65" w:rsidRDefault="00061E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E65" w:rsidRDefault="00061E6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A" w:rsidRPr="00621361" w:rsidRDefault="003673CA" w:rsidP="003673CA">
    <w:pPr>
      <w:jc w:val="center"/>
      <w:rPr>
        <w:szCs w:val="20"/>
      </w:rPr>
    </w:pPr>
    <w:r w:rsidRPr="00621361">
      <w:rPr>
        <w:noProof/>
        <w:szCs w:val="20"/>
      </w:rPr>
      <w:drawing>
        <wp:inline distT="0" distB="0" distL="0" distR="0" wp14:anchorId="06D042AF" wp14:editId="7E9AEAB8">
          <wp:extent cx="1514322" cy="628650"/>
          <wp:effectExtent l="0" t="0" r="0" b="0"/>
          <wp:docPr id="1"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1284" cy="631540"/>
                  </a:xfrm>
                  <a:prstGeom prst="rect">
                    <a:avLst/>
                  </a:prstGeom>
                  <a:noFill/>
                  <a:ln>
                    <a:noFill/>
                  </a:ln>
                </pic:spPr>
              </pic:pic>
            </a:graphicData>
          </a:graphic>
        </wp:inline>
      </w:drawing>
    </w:r>
  </w:p>
  <w:p w:rsidR="003673CA" w:rsidRPr="00840854" w:rsidRDefault="003673CA" w:rsidP="003673CA">
    <w:pPr>
      <w:jc w:val="center"/>
      <w:rPr>
        <w:sz w:val="12"/>
        <w:szCs w:val="20"/>
      </w:rPr>
    </w:pPr>
    <w:r w:rsidRPr="00621361">
      <w:rPr>
        <w:sz w:val="12"/>
        <w:szCs w:val="20"/>
      </w:rPr>
      <w:t>STAATLICHES SCHULAMT BIBERACH</w:t>
    </w:r>
  </w:p>
  <w:p w:rsidR="003673CA" w:rsidRDefault="003673CA" w:rsidP="003673CA">
    <w:pPr>
      <w:jc w:val="center"/>
      <w:rPr>
        <w:sz w:val="16"/>
        <w:szCs w:val="20"/>
      </w:rPr>
    </w:pPr>
  </w:p>
  <w:p w:rsidR="003673CA" w:rsidRPr="00840854" w:rsidRDefault="003673CA" w:rsidP="003673CA">
    <w:pPr>
      <w:jc w:val="center"/>
      <w:rPr>
        <w:sz w:val="28"/>
        <w:szCs w:val="20"/>
      </w:rPr>
    </w:pPr>
    <w:r w:rsidRPr="00840854">
      <w:rPr>
        <w:sz w:val="28"/>
        <w:szCs w:val="20"/>
      </w:rPr>
      <w:t xml:space="preserve">Formblatt zur Schulfremdenprüfung </w:t>
    </w:r>
  </w:p>
  <w:p w:rsidR="003673CA" w:rsidRPr="00BD3F9E" w:rsidRDefault="003673CA" w:rsidP="003673CA">
    <w:pPr>
      <w:jc w:val="center"/>
      <w:rPr>
        <w:b/>
        <w:sz w:val="12"/>
        <w:szCs w:val="12"/>
      </w:rPr>
    </w:pPr>
  </w:p>
  <w:p w:rsidR="003673CA" w:rsidRPr="00BD3F9E" w:rsidRDefault="000466D5" w:rsidP="003673CA">
    <w:pPr>
      <w:jc w:val="center"/>
      <w:rPr>
        <w:b/>
        <w:szCs w:val="16"/>
      </w:rPr>
    </w:pPr>
    <w:r>
      <w:rPr>
        <w:b/>
        <w:szCs w:val="20"/>
      </w:rPr>
      <w:t>- Formular 2</w:t>
    </w:r>
    <w:r w:rsidR="003673CA" w:rsidRPr="00BD3F9E">
      <w:rPr>
        <w:b/>
        <w:szCs w:val="20"/>
      </w:rPr>
      <w:t xml:space="preserve"> -</w:t>
    </w:r>
  </w:p>
  <w:p w:rsidR="00621361" w:rsidRDefault="0062136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361"/>
    <w:rsid w:val="000466D5"/>
    <w:rsid w:val="00061E65"/>
    <w:rsid w:val="00180E63"/>
    <w:rsid w:val="001A2103"/>
    <w:rsid w:val="001E03DE"/>
    <w:rsid w:val="002223B8"/>
    <w:rsid w:val="00296589"/>
    <w:rsid w:val="002B5935"/>
    <w:rsid w:val="003673CA"/>
    <w:rsid w:val="003A6508"/>
    <w:rsid w:val="0044650F"/>
    <w:rsid w:val="00621361"/>
    <w:rsid w:val="00673FF3"/>
    <w:rsid w:val="008A7911"/>
    <w:rsid w:val="009533B3"/>
    <w:rsid w:val="009935DA"/>
    <w:rsid w:val="009C05F9"/>
    <w:rsid w:val="00BA17A8"/>
    <w:rsid w:val="00BC2F08"/>
    <w:rsid w:val="00C22DA6"/>
    <w:rsid w:val="00CD6932"/>
    <w:rsid w:val="00F44A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B20A66"/>
  <w15:docId w15:val="{5AE90745-39D1-44FF-A0AA-7B3C96FE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F08"/>
    <w:pPr>
      <w:spacing w:line="240" w:lineRule="auto"/>
    </w:pPr>
    <w:rPr>
      <w:rFonts w:ascii="Times New Roman" w:eastAsia="Times New Roman"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eastAsiaTheme="minorHAnsi"/>
      <w:sz w:val="16"/>
      <w:szCs w:val="22"/>
      <w:lang w:eastAsia="en-US"/>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ascii="Arial" w:hAnsi="Arial"/>
      <w:szCs w:val="20"/>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ascii="Arial" w:hAnsi="Arial"/>
      <w:szCs w:val="20"/>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ascii="Arial" w:hAnsi="Arial"/>
      <w:szCs w:val="20"/>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ascii="Arial" w:hAnsi="Arial"/>
      <w:szCs w:val="20"/>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ascii="Arial" w:hAnsi="Arial"/>
      <w:szCs w:val="20"/>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ascii="Arial" w:hAnsi="Arial"/>
      <w:sz w:val="16"/>
      <w:szCs w:val="20"/>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ascii="Arial" w:hAnsi="Arial"/>
      <w:szCs w:val="20"/>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styleId="Sprechblasentext">
    <w:name w:val="Balloon Text"/>
    <w:basedOn w:val="Standard"/>
    <w:link w:val="SprechblasentextZchn"/>
    <w:uiPriority w:val="99"/>
    <w:semiHidden/>
    <w:unhideWhenUsed/>
    <w:rsid w:val="00621361"/>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6213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3074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Land Baden-Württemberg</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Schaffhauser, Alexandra (SSA Biberach)</dc:creator>
  <cp:lastModifiedBy>Schaffhauser, Alexandra (SSA Biberach)</cp:lastModifiedBy>
  <cp:revision>2</cp:revision>
  <dcterms:created xsi:type="dcterms:W3CDTF">2023-07-27T10:39:00Z</dcterms:created>
  <dcterms:modified xsi:type="dcterms:W3CDTF">2023-07-27T10:39:00Z</dcterms:modified>
</cp:coreProperties>
</file>